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51C" w:rsidRPr="000F6BD1" w:rsidRDefault="00F1551C" w:rsidP="00544C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Қазақстан Республикасы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Қаржы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министрінің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2014 жылғы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қарашадағы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495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бұйрығына</w:t>
      </w:r>
    </w:p>
    <w:p w:rsidR="00F1551C" w:rsidRPr="000F6BD1" w:rsidRDefault="00F1551C" w:rsidP="000F6B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551C" w:rsidRPr="000F6BD1" w:rsidRDefault="00F1551C" w:rsidP="00544CC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Қазақстан Республикасы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Қаржы министрінің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жылғы 18 қыркүйектегі</w:t>
      </w:r>
      <w:r w:rsidR="00544C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6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№ 404 бұйрығына1-қосымша </w:t>
      </w:r>
    </w:p>
    <w:p w:rsidR="00F1551C" w:rsidRPr="000F6BD1" w:rsidRDefault="00F1551C" w:rsidP="000F6BD1">
      <w:pPr>
        <w:spacing w:after="0" w:line="240" w:lineRule="auto"/>
        <w:ind w:firstLine="1204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551C" w:rsidRPr="000F6BD1" w:rsidRDefault="00F1551C" w:rsidP="00544C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6BD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Бюджет түсімдерін бюджеттер деңгейлері мен</w:t>
      </w:r>
      <w:r w:rsidR="00544CC2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0F6BD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Қазақстан Республикасы Ұлттық қорының қолма-қол ақшасының бақылау </w:t>
      </w:r>
      <w:r w:rsidRPr="000F6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шоты арасында бөлу кестесі</w:t>
      </w:r>
    </w:p>
    <w:p w:rsidR="00F1551C" w:rsidRPr="000F6BD1" w:rsidRDefault="00F1551C" w:rsidP="000F6B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58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0"/>
        <w:gridCol w:w="992"/>
        <w:gridCol w:w="851"/>
        <w:gridCol w:w="865"/>
        <w:gridCol w:w="1275"/>
        <w:gridCol w:w="1830"/>
        <w:gridCol w:w="1417"/>
        <w:gridCol w:w="1843"/>
        <w:gridCol w:w="1842"/>
        <w:gridCol w:w="1701"/>
      </w:tblGrid>
      <w:tr w:rsidR="00F1551C" w:rsidRPr="000F6BD1" w:rsidTr="000F6BD1">
        <w:tc>
          <w:tcPr>
            <w:tcW w:w="2970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тау</w:t>
            </w:r>
          </w:p>
          <w:p w:rsidR="00F1551C" w:rsidRPr="000F6BD1" w:rsidRDefault="00F1551C" w:rsidP="0054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3" w:type="dxa"/>
            <w:gridSpan w:val="4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КОДТАР</w:t>
            </w:r>
          </w:p>
        </w:tc>
        <w:tc>
          <w:tcPr>
            <w:tcW w:w="8633" w:type="dxa"/>
            <w:gridSpan w:val="5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БЮДЖЕТКЕ %-БЕН ЕСЕПТЕЛЕДІ</w:t>
            </w:r>
          </w:p>
        </w:tc>
      </w:tr>
      <w:tr w:rsidR="00F1551C" w:rsidRPr="000F6BD1" w:rsidTr="000F6BD1">
        <w:tc>
          <w:tcPr>
            <w:tcW w:w="2970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Санаты</w:t>
            </w:r>
          </w:p>
        </w:tc>
        <w:tc>
          <w:tcPr>
            <w:tcW w:w="851" w:type="dxa"/>
            <w:vMerge w:val="restart"/>
          </w:tcPr>
          <w:p w:rsidR="00F1551C" w:rsidRDefault="00F1551C" w:rsidP="000F6B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</w:t>
            </w:r>
          </w:p>
          <w:p w:rsidR="00F1551C" w:rsidRPr="000F6BD1" w:rsidRDefault="00F1551C" w:rsidP="000F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Кіші сынып</w:t>
            </w:r>
          </w:p>
        </w:tc>
        <w:tc>
          <w:tcPr>
            <w:tcW w:w="1275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Ерекшелігі</w:t>
            </w:r>
          </w:p>
        </w:tc>
        <w:tc>
          <w:tcPr>
            <w:tcW w:w="1830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Республикалық бюджет</w:t>
            </w:r>
          </w:p>
          <w:p w:rsidR="00F1551C" w:rsidRPr="000F6BD1" w:rsidRDefault="00F1551C" w:rsidP="00544CC2">
            <w:pPr>
              <w:tabs>
                <w:tab w:val="left" w:pos="1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3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Жергілікті бюджеттер</w:t>
            </w:r>
          </w:p>
        </w:tc>
        <w:tc>
          <w:tcPr>
            <w:tcW w:w="1701" w:type="dxa"/>
            <w:vMerge w:val="restart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Қазақстан Республикасы Ұлттық қорының қолма-қол ақшасының бақылау шоты</w:t>
            </w:r>
          </w:p>
        </w:tc>
      </w:tr>
      <w:tr w:rsidR="00F1551C" w:rsidRPr="000F6BD1" w:rsidTr="000F6BD1">
        <w:tc>
          <w:tcPr>
            <w:tcW w:w="2970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51C" w:rsidRPr="000F6BD1" w:rsidRDefault="00F1551C" w:rsidP="00544CC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Облыстық бюджет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Республикалық маңызы бар қала, астана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544CC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Аудан, облыстық маңызы бар қала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Салықтық 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Табыс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Корпоративтік табыс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Мұнай секторы ұйымдарының занды тұлғаларынан алынатын корпоративтік табыс салығы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Мұнай секторы ұйымдарынан түсетін түсімдерді қоспағанда, заңды тұлғалардан алынатын корпоративтік табыс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Жеке табыс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222AD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Төлем көзінен салық салынатын табыстардан ұсталатын жеке табыс салығы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222AD" w:rsidTr="000F6BD1">
        <w:tc>
          <w:tcPr>
            <w:tcW w:w="2970" w:type="dxa"/>
          </w:tcPr>
          <w:p w:rsidR="00F1551C" w:rsidRPr="00C40D00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көзінен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салынбайтын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табыстардан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ұсталатын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табыс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  <w:r w:rsidRPr="00C4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222AD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Төлем көзінен салық салынбайтын шетелдік азаматтар табыстарынан ұсталатын жеке табыс салығы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Әлеуметтiк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Әлеуметтiк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222AD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Әлеуметтiк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Облыстық мәслихат белгілеген бөлу нормативтері бойынша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Меншiкке салынатын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Мүлiкке салынатын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кәсіпкерлердің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мүлкіне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Жер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мекендер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мекендердің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Көлiк құралдарына салынатын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Бірыңғай жер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Бірыңғай жер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жұмыстарға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қызметтерге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Қосылған құн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Резидент емес үшін қосылған құн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бірыңғай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құрылғанға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шығарылатын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төлеушінің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бұрын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тексеру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барысында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қайтарылуы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расталмаған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сомасын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аударуы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сомасын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ЕАЭО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Акциздер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конденсаты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спиртт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алкоголь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мүгедектерге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бейімдегіші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спиртт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алкоголь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акцизделетін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бензин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авиациялықты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дизель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отыны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табылмайтын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спирттің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алкоголь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акцизделетін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табылмайтын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бензин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авиациялықты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дизель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бензин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авиациялықты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дизель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Қалааралық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телефон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байланысын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көрсеткені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тағыда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ұялы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байланыс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Үстеме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бетіне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жақын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ресурстарын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Орманды пайдаланғаны үшiн 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Бонустар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қазбаларды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экспортқа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рента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Жасалған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мшарттар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бөлгендегі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Радиожиілік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спектрін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қатынайтын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Жануарлар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дүниесін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ерекше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ерекше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Қоршаған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Тарихи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шығындарды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үстеме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Мұнай секторы ұйымдарынан түсетін бонустар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қазбаларды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 секторы ұйымдарынан салынатын экспортқа рента  салығы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жасалған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келісімшарттар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бөлгендегі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өнімді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келісімшарт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жүзеге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қойнауын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пайдаланушының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қосымша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пкерл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Жекелеген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айналысу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құқығы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лицензиялық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Аукциондардан алынатын 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Автокөлік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арқылы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Телевизиялық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радио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хабарын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тарататын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радиожиілік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өрісін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рұқсат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бергені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арқылы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белдеу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объектілерінде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белдеу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объектілерінде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арқылы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белдеу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объектілерінде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белдеу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объектілерінде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жайлардан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кеңістікте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тіркелген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белдеуіндегі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жайлардан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кеңістіктегі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объектілерінде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тіркелген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жарнаманы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жайлардан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кеңістікте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тіркелген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тіркелгені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тіркелгені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Ойын бизнесіне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Ойын бизнесіне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Тіркелген салық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Халықаралық сауда мен сыртқы операцияларға салынатын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Кеден төлемдерi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баламалы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есепке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жатқызу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тәртібін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келісімге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баламалы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Әкетілетін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бірыңғай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ставкасын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жиынтық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 Федерациясымен бөлінген кедендік 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 Республикасымен бөлінген кедендік 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тоқтатыла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аударылу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сомалары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уақытылы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әкету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әкету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одағында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баламалы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алымдарды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есепке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жатқызу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тәртібін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келісім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күшіне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енгенге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туындаған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әкелінетін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төлеуді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сомалары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Беларусь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төлеуді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сомалары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 сауда мен операцияларға салынатын басқа да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бақылауды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рәс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жүзеге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асырудан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демпингке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Беларус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демпингке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Ресей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Федерациясынан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демпингке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демпингке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орындамағаны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жартылай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уақтылы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орындамағы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мерзімін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пайыздарының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жатпайтын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демпингке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баждары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Басқа да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Басқа да салықтар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Бұрын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түскен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күшін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жойған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түрлері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орындалмаған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міндеттемелер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1C" w:rsidRPr="00294122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Бұрын жергілікті бюджетке түскен күшін жойған салық түрлері бойынша орындалмаған міндеттемелер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Бұрын жергілікті бюджетке түскен күшін жойған салық түрлері бойынша орындалмаған міндеттемелер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Бұрын жергілікті бюджетке түскен күшін жойған салық түрлері бойынша орындалмаған міндеттемелер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C96EA0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40D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Заңдық маңызы бар әрекеттерді жасағаны және (немесе)  оған уәкілеттігі бар мемлекеттік органдар немесе лауазымды адамдар құжаттар бергені үшін алынатын міндетті төлемдер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Мемлекеттік 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1B47ED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Консулдық алым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 бюджетке төленетін мемлекеттік 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баж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Салықтық емес түсiмдер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Мемлекеттік меншіктен түсетін 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таза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таза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таза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таза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таза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пакеттеріне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дивидендтер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 меншігіндегі акциялардың мемлекеттік пакетіне дивидендтер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пакетіне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дивидендтер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9E3DD3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 меншігінде тұрған, </w:t>
            </w:r>
            <w:r w:rsidRPr="009E3D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тұлғалардағы </w:t>
            </w:r>
            <w:r w:rsidRPr="009E3D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 үлесіне 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C96EA0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Коммуналдық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меншіктегі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заңды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тулғаларға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қатысу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үлесіне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C96EA0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Мемлекет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меншігіндегі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мүлікті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жалға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беруден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түсетін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C96EA0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Республика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меншігіндегі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мүлікті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жалға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алудан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түсетін</w:t>
            </w:r>
            <w:r w:rsidRPr="00C96EA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6EA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Әскери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полигондарды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жалгерлік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Байқоныр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кешенін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пайдаланғаны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жалгерлік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C96EA0">
        <w:trPr>
          <w:trHeight w:val="973"/>
        </w:trPr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тұрғын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үйлерд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тұрғын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үйлерд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әкімдерінің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әкімдерінің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тұрғын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үйлерд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қаражатын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шоттарына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18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3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депозиттері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Депозиттерге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уақытша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ақшаны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Екінші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деңгейдегі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шоттарында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орналастырғаны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2005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2005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Шетелдік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кепілдіктер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агентіктеріне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алқаптарын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шаруашылықтарын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байланысты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мақсаттарға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кезде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өндірістерінің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шығасыларын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қойнауы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өкілді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шешімдері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лотереялардан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жарақты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әскери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Тәркіленген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тәртіппен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өтеусіз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кедендік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тарту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пайдасына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ресімделген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Иесіз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тәртіппен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өтеусіз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қадағалаусыз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жануарларды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олжаларды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сондай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мұрагерлік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құқығы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рыногында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сыйақылар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сервитут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меншігіне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сервитут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төлемақы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тауарларды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жұмыстарды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қызметтерді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өткізуінен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ұйымдастыратын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сатып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алуды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өткізуден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ақша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сатып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ақшаның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FB424D" w:rsidRDefault="00F1551C" w:rsidP="00560B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B424D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Мемлекеттік бюджеттен қаржыландырылатын, сондай-ақ Қазақстан Республикасы Ұлттық Банкінің бюджетінен (шығыстар сметасынан) ұсталатын және қаржыландырылатын мемлекеттік мекемелер салатын айыппұлдар, өсімпұлдар, санкциялар, өндіріп 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сондай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шығыстар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сметасынан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ұсталатын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Атқарушылық санкция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департаменттері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Заңсыз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теңест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заңсыз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залалдың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өтініштер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табиғатты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пайдаланушылардан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Түзету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сотталғандардың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еңбекақысынан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ұсталатын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ғылым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 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саласындағы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құқық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бұзушылықтарды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төрағасы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отырысында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төрағалық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лд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орындаушылары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приставтары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қызметкерлер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атқарылуын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бақылау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ндег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шешімдерін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қауіпсіздік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бақылау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әкімдері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Мәдениет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министрлігі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Энергетика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Денсаулық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министрлігінің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кірістер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істері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сыбайлас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жемқорлыққа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қимыл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агенттігі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күзет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сондай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шығыстар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сметасынан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бөлімшелері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айыппұлдар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өсімпұлдар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санкциялар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келтірілген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зиянның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толтыру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табиғатты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пайдаланушылардан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Гранттар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Техникалық көмек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Орталық мемлекеттік органдар тартатын гранттар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 атқарушы органдар тартатын гранттар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Қаржылық көмек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Орталық мемлекеттік органдар тартатын гранттар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 атқарушы органдар тарататын гранттар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FE3C14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3C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да салықтық емес түсiмдер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222AD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32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да салықтық емес түсiмдер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дебиторлық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депоненттік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берешегінің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дебиторлық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депоненттік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берешегінің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Бұрын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Бұрын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қайтарылуы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қоспағанда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Республикалық бюджетке түсетін қайырымдылық түсімдер (қайырымдылық жасаушы тұлғаның ықыласына байланысты); республикалық бюджеттің қаражаттарын мақсатсыз пайдалану; органдарының тексеру актілері бойынша республикалық бағыныстағы мемлекеттік мекемелерде анықталған өтелген зиян сомалары; мемлекеттік мекемелерде анықталған өтелген зиян сомалары; мемлекеттік кепілдік бергені үшін төлем; 28 қыркүйектегі 1995 жылғы № 2464 «Қазақстан Рсепубликасындағы сайлау туралы» Қазақстан Республикасы Президентінің Жарлығына сәйкес енгізілген депутаттыққа кандидаттың сайлау жарнасы; республикалық бюджеттен қаржыландырылатын мекемелер бойынша соттар шешімдерімен мемлекеттің материалдық зиянын өтеуге жауаптылардан алынған сомалар; бұрындары республикалық бюджетке түскен салықтық емес түсімдердің жойылған түрлері бойынша түсімдер; республикалық бюджеттен қаржыландырылатын мекемелердің шоттарын жабу кезіндегі қаражат қалдықтары; осы сомалар ағымдағы есепшотында сақталған мемлекеттік мекеменің өкімі бойынша сақтау мерзімі аяқталғаннан кейін талап етілмеген депозиттік сомалар; заңды және жеке тұлғалардың республикалық бюджеттен заңсыз алынған қаражатты қайтаруы.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1C" w:rsidRPr="00294122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Жергілікті бюджетке түсетін қайырымдылық түсімдер (қайырымдылық жасаушы тұлғаның ниетіне байланысты); жергілікті бюджет қаражатын мақсатсыз пайдалану; Қаржы министрлігінің органдарының тексеру актілері бойынша жергілікті бағыныстағы мемлекеттік мекемелерде анықталған өтелген зиян сомалары; жергілікті бюджеттен қаржыландырылатын мекемелер бойынша соттар шешімдерімен мемлекеттің материалдық зиянын өтеуге жауаптылардан алынған сомалар; бұрын жергілікті бюджетке түскен салықтық емес түсімдердің жойылған түрлері бойынша түсімдер; жергілікті бюджеттен қаржыландырылатын мекемелердің шоттарын жабу кезіндегі қаражат қалдықтары; осы сомалар ағымдағы есепшотында сақтаулы мемлекеттік мекеменің өкімі бойынша сақтау мерзімі аяқталғаннан кейін талап етілмеген депозиттік сомалар; заңды және жеке тұлғалардың жергілікті бюджеттен заңсыз алынған қаражатты қайтаруы.</w:t>
            </w:r>
          </w:p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Жергілікті бюджетке түсетін қайырымдылық түсімдер (қайырымдылық жасаушы тұлғаның ниетіне байланысты); жергілікті бюджет қаражатын мақсатсыз пайдалану; Қаржы министрлігінің органдарының тексеру актілері бойынша жергілікті бағыныстағы мемлекеттік мекемелерде анықталған өтелген зиян сомалары; жергілікті бюджеттен қаржыландырылатын мекемелер бойынша соттар шешімдерімен мемлекеттің материалдық зиянын өтеуге жауаптылардан алынған сомалар; бұрын жергілікті бюджетке түскен салықтық емес түсімдердің жойылған түрлері бойынша түсімдер; жергілікті бюджеттен қаржыландырылатын мекемелердің шоттарын жабу кезіндегі қаражат қалдықтары; осы сомалар ағымдағы есепшотында сақтаулы мемлекеттік мекеменің өкімі бойынша сақтау мерзімі аяқталғаннан кейін талап етілмеген депозиттік сомалар; заңды және жеке тұлғалардың жергілікті бюджеттен заңсыз алынған қаражатты қайтаруы.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Жергілікті бюджетке түсетін қайырымдылық түсімдер (қайырымдылық жасаушы тұлғаның ниетіне байланысты); жергілікті бюджет қаражатын мақсатсыз пайдалану; Қаржы министрлігінің органдарының тексеру актілері бойынша жергілікті бағыныстағы мемлекеттік мекемелерде анықталған өтелген зиян сомалары; жергілікті бюджеттен қаржыландырылатын мекемелер бойынша соттар шешімдерімен мемлекеттің материалдық зиянын өтеуге жауаптылардан алынған сомалар; бұрын жергілікті бюджетке түскен салықтық емес түсімдердің жойылған түрлері бойынша түсімдер; жергілікті бюджеттен қаржыландырылатын мекемелердің шоттарын жабу кезіндегі қаражат қалдықтары; осы сомалар ағымдағы есепшотында сақтаулы мемлекеттік мекеменің өкімі бойынша сақтау мерзімі аяқталғаннан кейін талап етілмеген депозиттік сомалар; заңды және жеке тұлғалардың жергілікті бюджеттен заңсыз алынған қаражатты қайтаруы.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жария еткен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алым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Мұнай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салықтық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Жануарларды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сәйкестендіру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ветеринариялық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паспорттың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жапсырмалардың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чиптердің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Парниктік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шығарындыларына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квоталар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бөлудің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жоспарының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квота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көлемі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мөлшер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бірліктерін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Өңірдің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дамуы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инфрақұрылымын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дамытуға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қойнауын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пайдаланушылардың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аударымдары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Негізгі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капиталды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мекемелерге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бекітілген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бекітілген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бекітілген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қаржыландырылатын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бекітілген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Азаматтарға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пәтерлер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 материалдық резервтен тауарлар 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 материалдық резервтен тауарлар 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резервтерден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тауарлар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берешект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қорларды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ресурстардан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Жұмылдыру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құндылықтарын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құндылықтарын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Жерд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және материалдық емес активтерд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Жерді 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Ауыл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Материалдық емес активтерді сату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Материалдық емес активтердi сату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учаскелерін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жалдау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құқығын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сатқаны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Трансферттердің 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9C7397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C73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 тұрған мемлекеттiк басқару органдарынан трансферттер</w:t>
            </w:r>
          </w:p>
        </w:tc>
        <w:tc>
          <w:tcPr>
            <w:tcW w:w="992" w:type="dxa"/>
          </w:tcPr>
          <w:p w:rsidR="00F1551C" w:rsidRPr="00225325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ru-RU"/>
              </w:rPr>
            </w:pPr>
            <w:r w:rsidRPr="00225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6217FE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Облыстық бюджеттерден, Астана және Алматы қалаларының бюджеттерінен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Атырау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Маңғыстау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шығындарына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өтемақыға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заңнамасымен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қарастырылған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жағдайларда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сипаттағы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Аудандық (қалалық) бюджеттерден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Бюджеттік алып қоюлар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Нысаналы трансферттерді 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ысырабын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заңнамасымен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қарастырылған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жағдайларда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сипаттағы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трансферттерды</w:t>
            </w:r>
            <w:r w:rsidRPr="00560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басқарудың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жоғары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тұрған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органдарынан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Республикалық бюджеттен түсетiн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Ағымдағы нысаналы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Нысаналы даму трансферттері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Субвенциялар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Облыстық бюджеттен түсетiн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Ағымдағы нысаналы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Нысаналы даму трансферттері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Субвенциялар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Заңнаманың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қабылдауына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байланысты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ысырапты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қалаларының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бюджеттеріне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берілетін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өзара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қатынастары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Алматы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бірліктің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саяси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тұрақтылығына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адамдардың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өмірі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денсаулығына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төндіретін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техногендік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сипаттағы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төтенше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туындаған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әкімшілік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аумақтық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бірліктің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саяси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тұрақтылығына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адамдардың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өмірі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денсаулығына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төндіретін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табиғи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техногендік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сипаттағы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төтенше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туындаған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жалпы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шаралар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жағдайларда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Ұлттық қордан трансферттер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Республикалық бюджетке Ұлттық қордан трансферттер 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 қордан республикалық бюджетке кепілдік берілген трансферт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аударылмаған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лдендірілген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Ұлттық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қорынан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Бюджеттік кредиттерді 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Бюджеттік кредиттерді 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ішкі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Мамандандырылған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2005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2005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Шетелдік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мемлекеттерге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Бюджеттік кредиттердің сомаларын 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бюджеттерінен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органдарының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тұлғаларлың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берілген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мақсаты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пайдаланылмаған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Төленген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кепілдіктер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талаптарды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Төленген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кепілдіктер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кепілдіктер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бағытталған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қаражатты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қайтару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кредиттер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сондай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кепілдіктер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бағытталған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берешекті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өтеу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есебіне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пайдасына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өндіріп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алынған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активтерін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Мемлекеттің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активтерін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ішінде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меншіктегі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өндіруші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әрі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өңдеуші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салаға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жекешелендіруден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кешені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жедел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мемелекеттік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кешен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түріндегі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мекемелер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коммуналдық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жедел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басқаруындағы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шаруашылық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жіргізуіндегі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мүлікті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Қаржы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елден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жерлерде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Халқаралық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ұйымдардың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тұлғаларының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қатысу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үлестерін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Қарыздар түсімдері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Мемлекеттік ішкі қарыздар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Мемлекеттік эмиссиялық бағалы қағаздар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ұзақ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мерзімді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қазынашылық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мерзімді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қазынашылық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қысқа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мерзімді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қазынашылық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қағаздарды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рыногында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сатудан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түсетін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түсімдер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Қарыз алу келісім-шарттары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Қазақстан Республикасының Үкіметі алатын қарыздар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астананың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Ауданның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маңызы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жергілікті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атқарушы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алатын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Мемлекеттік сыртқы қарыздар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Қарыз алу келісім-шарттары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Халықаралық қаржы ұйымдарынан кредиттер 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Шетелдік мемлекеттерден кредиттер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Шетелдік коммерциялық банктер мен фирмалардан кредиттер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Мемлекеттік эмиссиялық бағалы қағаздар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Сыртқы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рыноктарында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орналыстырылған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борыштық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міндеттемелер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эмиссиялық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бағалы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қағаздар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қаражатының пайдаланылатын 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Бюджет қаражатының бос 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>Бюджет қаражатының бос 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32" w:type="dxa"/>
            <w:gridSpan w:val="4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Бос қалдықтар қалыптасқан бюджет деңгейіне байланысты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Есепті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кезең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соңындағы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0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551C" w:rsidRPr="000F6BD1" w:rsidTr="000F6BD1">
        <w:tc>
          <w:tcPr>
            <w:tcW w:w="2970" w:type="dxa"/>
          </w:tcPr>
          <w:p w:rsidR="00F1551C" w:rsidRPr="000F6BD1" w:rsidRDefault="00F1551C" w:rsidP="000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Есепті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кезеңның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соңындағы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қаражатының</w:t>
            </w:r>
            <w:r w:rsidRPr="000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қалдықтары</w:t>
            </w:r>
          </w:p>
        </w:tc>
        <w:tc>
          <w:tcPr>
            <w:tcW w:w="992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865" w:type="dxa"/>
          </w:tcPr>
          <w:p w:rsidR="00F1551C" w:rsidRPr="000F6BD1" w:rsidRDefault="00F1551C" w:rsidP="000F6BD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B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32" w:type="dxa"/>
            <w:gridSpan w:val="4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BD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Қалдықтар қалыптасқан бюджет деңгейіне байланысты</w:t>
            </w:r>
          </w:p>
        </w:tc>
        <w:tc>
          <w:tcPr>
            <w:tcW w:w="1701" w:type="dxa"/>
          </w:tcPr>
          <w:p w:rsidR="00F1551C" w:rsidRPr="000F6BD1" w:rsidRDefault="00F1551C" w:rsidP="000F6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1551C" w:rsidRDefault="00F1551C" w:rsidP="000F6B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E6B9B" w:rsidRPr="00FE6B9B" w:rsidRDefault="00FE6B9B" w:rsidP="00FE6B9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E6B9B">
        <w:rPr>
          <w:rFonts w:ascii="Times New Roman" w:hAnsi="Times New Roman" w:cs="Times New Roman"/>
          <w:sz w:val="24"/>
          <w:szCs w:val="24"/>
          <w:lang w:val="kk-KZ"/>
        </w:rPr>
        <w:t xml:space="preserve">Бұйрық Қазақстан Республикасының Әділет министрлігінде 2014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12 желтоқсандағы </w:t>
      </w:r>
      <w:r w:rsidRPr="00FE6B9B">
        <w:rPr>
          <w:rFonts w:ascii="Times New Roman" w:hAnsi="Times New Roman" w:cs="Times New Roman"/>
          <w:sz w:val="24"/>
          <w:szCs w:val="24"/>
          <w:lang w:val="kk-KZ"/>
        </w:rPr>
        <w:t xml:space="preserve"> Нормативтік құқықтық кесімдерді мемлек</w:t>
      </w:r>
      <w:r>
        <w:rPr>
          <w:rFonts w:ascii="Times New Roman" w:hAnsi="Times New Roman" w:cs="Times New Roman"/>
          <w:sz w:val="24"/>
          <w:szCs w:val="24"/>
          <w:lang w:val="kk-KZ"/>
        </w:rPr>
        <w:t>еттік тіркеудің тізіліміне №9963</w:t>
      </w:r>
      <w:r w:rsidRPr="00FE6B9B">
        <w:rPr>
          <w:rFonts w:ascii="Times New Roman" w:hAnsi="Times New Roman" w:cs="Times New Roman"/>
          <w:sz w:val="24"/>
          <w:szCs w:val="24"/>
          <w:lang w:val="kk-KZ"/>
        </w:rPr>
        <w:t xml:space="preserve"> болып енгізілді.</w:t>
      </w:r>
    </w:p>
    <w:p w:rsidR="00FE6B9B" w:rsidRPr="000F6BD1" w:rsidRDefault="00FE6B9B" w:rsidP="000F6B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E6B9B" w:rsidRPr="000F6BD1" w:rsidSect="00346F35">
      <w:headerReference w:type="default" r:id="rId6"/>
      <w:headerReference w:type="first" r:id="rId7"/>
      <w:pgSz w:w="16839" w:h="11907" w:orient="landscape" w:code="9"/>
      <w:pgMar w:top="1134" w:right="567" w:bottom="1134" w:left="567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1C" w:rsidRDefault="00F1551C" w:rsidP="002B3D18">
      <w:pPr>
        <w:spacing w:after="0" w:line="240" w:lineRule="auto"/>
      </w:pPr>
      <w:r>
        <w:separator/>
      </w:r>
    </w:p>
  </w:endnote>
  <w:endnote w:type="continuationSeparator" w:id="0">
    <w:p w:rsidR="00F1551C" w:rsidRDefault="00F1551C" w:rsidP="002B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1C" w:rsidRDefault="00F1551C" w:rsidP="002B3D18">
      <w:pPr>
        <w:spacing w:after="0" w:line="240" w:lineRule="auto"/>
      </w:pPr>
      <w:r>
        <w:separator/>
      </w:r>
    </w:p>
  </w:footnote>
  <w:footnote w:type="continuationSeparator" w:id="0">
    <w:p w:rsidR="00F1551C" w:rsidRDefault="00F1551C" w:rsidP="002B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51C" w:rsidRPr="006610BA" w:rsidRDefault="00F1551C">
    <w:pPr>
      <w:pStyle w:val="a3"/>
      <w:jc w:val="center"/>
      <w:rPr>
        <w:rFonts w:ascii="Times New Roman" w:hAnsi="Times New Roman" w:cs="Times New Roman"/>
      </w:rPr>
    </w:pPr>
    <w:r w:rsidRPr="00ED2BBA">
      <w:rPr>
        <w:rFonts w:ascii="Times New Roman" w:hAnsi="Times New Roman" w:cs="Times New Roman"/>
        <w:sz w:val="28"/>
        <w:szCs w:val="28"/>
      </w:rPr>
      <w:fldChar w:fldCharType="begin"/>
    </w:r>
    <w:r w:rsidRPr="00ED2BB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D2BBA">
      <w:rPr>
        <w:rFonts w:ascii="Times New Roman" w:hAnsi="Times New Roman" w:cs="Times New Roman"/>
        <w:sz w:val="28"/>
        <w:szCs w:val="28"/>
      </w:rPr>
      <w:fldChar w:fldCharType="separate"/>
    </w:r>
    <w:r w:rsidR="00294122">
      <w:rPr>
        <w:rFonts w:ascii="Times New Roman" w:hAnsi="Times New Roman" w:cs="Times New Roman"/>
        <w:noProof/>
        <w:sz w:val="28"/>
        <w:szCs w:val="28"/>
      </w:rPr>
      <w:t>3</w:t>
    </w:r>
    <w:r w:rsidRPr="00ED2BBA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51C" w:rsidRDefault="00F1551C">
    <w:pPr>
      <w:pStyle w:val="a3"/>
      <w:jc w:val="center"/>
    </w:pPr>
    <w:r w:rsidRPr="00B72165">
      <w:rPr>
        <w:rFonts w:ascii="Times New Roman" w:hAnsi="Times New Roman" w:cs="Times New Roman"/>
        <w:sz w:val="28"/>
        <w:szCs w:val="28"/>
      </w:rPr>
      <w:fldChar w:fldCharType="begin"/>
    </w:r>
    <w:r w:rsidRPr="00B72165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72165">
      <w:rPr>
        <w:rFonts w:ascii="Times New Roman" w:hAnsi="Times New Roman" w:cs="Times New Roman"/>
        <w:sz w:val="28"/>
        <w:szCs w:val="28"/>
      </w:rPr>
      <w:fldChar w:fldCharType="separate"/>
    </w:r>
    <w:r w:rsidR="00294122">
      <w:rPr>
        <w:rFonts w:ascii="Times New Roman" w:hAnsi="Times New Roman" w:cs="Times New Roman"/>
        <w:noProof/>
        <w:sz w:val="28"/>
        <w:szCs w:val="28"/>
      </w:rPr>
      <w:t>2</w:t>
    </w:r>
    <w:r w:rsidRPr="00B72165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D1"/>
    <w:rsid w:val="000066E9"/>
    <w:rsid w:val="000069B6"/>
    <w:rsid w:val="000078BE"/>
    <w:rsid w:val="0001150C"/>
    <w:rsid w:val="000222AD"/>
    <w:rsid w:val="00022836"/>
    <w:rsid w:val="00027CCC"/>
    <w:rsid w:val="00083CCA"/>
    <w:rsid w:val="00093121"/>
    <w:rsid w:val="000A1F3A"/>
    <w:rsid w:val="000F1083"/>
    <w:rsid w:val="000F6BD1"/>
    <w:rsid w:val="00143224"/>
    <w:rsid w:val="0018332B"/>
    <w:rsid w:val="001B47ED"/>
    <w:rsid w:val="001C502B"/>
    <w:rsid w:val="001C66E5"/>
    <w:rsid w:val="001D68AC"/>
    <w:rsid w:val="001E1EA1"/>
    <w:rsid w:val="001E4462"/>
    <w:rsid w:val="001F328E"/>
    <w:rsid w:val="0021575C"/>
    <w:rsid w:val="00225325"/>
    <w:rsid w:val="00227C24"/>
    <w:rsid w:val="0023733F"/>
    <w:rsid w:val="00256ADE"/>
    <w:rsid w:val="002572FE"/>
    <w:rsid w:val="00294122"/>
    <w:rsid w:val="002A61D2"/>
    <w:rsid w:val="002B3D18"/>
    <w:rsid w:val="002C0DC6"/>
    <w:rsid w:val="002E3EE7"/>
    <w:rsid w:val="002F3DAB"/>
    <w:rsid w:val="0030628C"/>
    <w:rsid w:val="00331E76"/>
    <w:rsid w:val="00346F35"/>
    <w:rsid w:val="00347141"/>
    <w:rsid w:val="003C4F2F"/>
    <w:rsid w:val="003C7CF1"/>
    <w:rsid w:val="004239B2"/>
    <w:rsid w:val="004350DB"/>
    <w:rsid w:val="004607B0"/>
    <w:rsid w:val="004F4DDB"/>
    <w:rsid w:val="00527F02"/>
    <w:rsid w:val="00544CC2"/>
    <w:rsid w:val="00560BE3"/>
    <w:rsid w:val="005635EB"/>
    <w:rsid w:val="0057024F"/>
    <w:rsid w:val="005C73D6"/>
    <w:rsid w:val="005E3577"/>
    <w:rsid w:val="00604EBD"/>
    <w:rsid w:val="0061125C"/>
    <w:rsid w:val="006217FE"/>
    <w:rsid w:val="006610BA"/>
    <w:rsid w:val="00666AD9"/>
    <w:rsid w:val="00696EE0"/>
    <w:rsid w:val="00756D86"/>
    <w:rsid w:val="00772E55"/>
    <w:rsid w:val="00774810"/>
    <w:rsid w:val="007818D5"/>
    <w:rsid w:val="007B08D4"/>
    <w:rsid w:val="007B52D8"/>
    <w:rsid w:val="007D3980"/>
    <w:rsid w:val="007D40FC"/>
    <w:rsid w:val="007E6EDF"/>
    <w:rsid w:val="0080154B"/>
    <w:rsid w:val="0086167F"/>
    <w:rsid w:val="00862395"/>
    <w:rsid w:val="008B196E"/>
    <w:rsid w:val="008C6FBB"/>
    <w:rsid w:val="008E59E5"/>
    <w:rsid w:val="00907EB9"/>
    <w:rsid w:val="00916F52"/>
    <w:rsid w:val="00960011"/>
    <w:rsid w:val="0096234E"/>
    <w:rsid w:val="009627F4"/>
    <w:rsid w:val="00963AB3"/>
    <w:rsid w:val="00980FCD"/>
    <w:rsid w:val="009930C1"/>
    <w:rsid w:val="009A2A7C"/>
    <w:rsid w:val="009B4928"/>
    <w:rsid w:val="009C7397"/>
    <w:rsid w:val="009E3DD3"/>
    <w:rsid w:val="00A23806"/>
    <w:rsid w:val="00A74928"/>
    <w:rsid w:val="00A90DD1"/>
    <w:rsid w:val="00B47FE8"/>
    <w:rsid w:val="00B5529E"/>
    <w:rsid w:val="00B64500"/>
    <w:rsid w:val="00B707AB"/>
    <w:rsid w:val="00B72165"/>
    <w:rsid w:val="00B91B14"/>
    <w:rsid w:val="00BC320D"/>
    <w:rsid w:val="00BC69D5"/>
    <w:rsid w:val="00BC7F61"/>
    <w:rsid w:val="00BD5B8B"/>
    <w:rsid w:val="00C40D00"/>
    <w:rsid w:val="00C56E5C"/>
    <w:rsid w:val="00C70B0A"/>
    <w:rsid w:val="00C96EA0"/>
    <w:rsid w:val="00CA6864"/>
    <w:rsid w:val="00CF0218"/>
    <w:rsid w:val="00D03EE7"/>
    <w:rsid w:val="00D1514F"/>
    <w:rsid w:val="00D30EC4"/>
    <w:rsid w:val="00D43974"/>
    <w:rsid w:val="00D74193"/>
    <w:rsid w:val="00D848E2"/>
    <w:rsid w:val="00D95F9C"/>
    <w:rsid w:val="00DC04B2"/>
    <w:rsid w:val="00DC47D0"/>
    <w:rsid w:val="00DD2CAB"/>
    <w:rsid w:val="00DD326F"/>
    <w:rsid w:val="00E0036F"/>
    <w:rsid w:val="00E02C98"/>
    <w:rsid w:val="00E23216"/>
    <w:rsid w:val="00E44FE4"/>
    <w:rsid w:val="00E51504"/>
    <w:rsid w:val="00E67465"/>
    <w:rsid w:val="00EB5669"/>
    <w:rsid w:val="00EB5A11"/>
    <w:rsid w:val="00ED2BBA"/>
    <w:rsid w:val="00ED7DDC"/>
    <w:rsid w:val="00EF0E47"/>
    <w:rsid w:val="00F1551C"/>
    <w:rsid w:val="00F252F7"/>
    <w:rsid w:val="00F5539E"/>
    <w:rsid w:val="00F61A03"/>
    <w:rsid w:val="00F62835"/>
    <w:rsid w:val="00F70E8B"/>
    <w:rsid w:val="00F83EE0"/>
    <w:rsid w:val="00F87360"/>
    <w:rsid w:val="00FB424D"/>
    <w:rsid w:val="00FE3C14"/>
    <w:rsid w:val="00FE6B9B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A11453-F6E8-4270-B04B-8C6115AD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DD1"/>
    <w:pPr>
      <w:spacing w:after="200" w:line="276" w:lineRule="auto"/>
    </w:pPr>
    <w:rPr>
      <w:rFonts w:ascii="Consolas" w:hAnsi="Consolas" w:cs="Consolas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90DD1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A90DD1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A90DD1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A90DD1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0DD1"/>
    <w:rPr>
      <w:rFonts w:ascii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A90DD1"/>
    <w:rPr>
      <w:rFonts w:ascii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A90DD1"/>
    <w:rPr>
      <w:rFonts w:ascii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A90DD1"/>
    <w:rPr>
      <w:rFonts w:ascii="Consolas" w:hAnsi="Consolas" w:cs="Consolas"/>
      <w:lang w:val="en-US"/>
    </w:rPr>
  </w:style>
  <w:style w:type="paragraph" w:styleId="a3">
    <w:name w:val="header"/>
    <w:basedOn w:val="a"/>
    <w:link w:val="a4"/>
    <w:uiPriority w:val="99"/>
    <w:rsid w:val="00A90DD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90DD1"/>
    <w:rPr>
      <w:rFonts w:ascii="Consolas" w:hAnsi="Consolas" w:cs="Consolas"/>
      <w:lang w:val="en-US"/>
    </w:rPr>
  </w:style>
  <w:style w:type="paragraph" w:styleId="a5">
    <w:name w:val="Normal Indent"/>
    <w:basedOn w:val="a"/>
    <w:uiPriority w:val="99"/>
    <w:rsid w:val="00A90DD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A90DD1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99"/>
    <w:locked/>
    <w:rsid w:val="00A90DD1"/>
    <w:rPr>
      <w:rFonts w:ascii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99"/>
    <w:qFormat/>
    <w:rsid w:val="00A90DD1"/>
    <w:pPr>
      <w:pBdr>
        <w:bottom w:val="single" w:sz="8" w:space="4" w:color="4F81BD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99"/>
    <w:locked/>
    <w:rsid w:val="00A90DD1"/>
    <w:rPr>
      <w:rFonts w:ascii="Consolas" w:hAnsi="Consolas" w:cs="Consolas"/>
      <w:lang w:val="en-US"/>
    </w:rPr>
  </w:style>
  <w:style w:type="character" w:styleId="aa">
    <w:name w:val="Emphasis"/>
    <w:basedOn w:val="a0"/>
    <w:uiPriority w:val="99"/>
    <w:qFormat/>
    <w:rsid w:val="00A90DD1"/>
    <w:rPr>
      <w:rFonts w:ascii="Consolas" w:hAnsi="Consolas" w:cs="Consolas"/>
    </w:rPr>
  </w:style>
  <w:style w:type="character" w:styleId="ab">
    <w:name w:val="Hyperlink"/>
    <w:basedOn w:val="a0"/>
    <w:uiPriority w:val="99"/>
    <w:rsid w:val="00A90DD1"/>
    <w:rPr>
      <w:rFonts w:ascii="Consolas" w:hAnsi="Consolas" w:cs="Consolas"/>
    </w:rPr>
  </w:style>
  <w:style w:type="table" w:styleId="ac">
    <w:name w:val="Table Grid"/>
    <w:basedOn w:val="a1"/>
    <w:uiPriority w:val="99"/>
    <w:rsid w:val="00A90DD1"/>
    <w:rPr>
      <w:rFonts w:ascii="Consolas" w:hAnsi="Consolas" w:cs="Consolas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uiPriority w:val="99"/>
    <w:rsid w:val="00A90DD1"/>
    <w:pPr>
      <w:jc w:val="center"/>
    </w:pPr>
    <w:rPr>
      <w:sz w:val="18"/>
      <w:szCs w:val="18"/>
    </w:rPr>
  </w:style>
  <w:style w:type="paragraph" w:customStyle="1" w:styleId="DocDefaults">
    <w:name w:val="DocDefaults"/>
    <w:uiPriority w:val="99"/>
    <w:rsid w:val="00A90DD1"/>
    <w:pPr>
      <w:spacing w:after="200" w:line="276" w:lineRule="auto"/>
    </w:pPr>
    <w:rPr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A9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90DD1"/>
    <w:rPr>
      <w:rFonts w:ascii="Tahoma" w:hAnsi="Tahoma" w:cs="Tahoma"/>
      <w:sz w:val="16"/>
      <w:szCs w:val="16"/>
      <w:lang w:val="en-US"/>
    </w:rPr>
  </w:style>
  <w:style w:type="paragraph" w:styleId="af">
    <w:name w:val="footer"/>
    <w:basedOn w:val="a"/>
    <w:link w:val="af0"/>
    <w:uiPriority w:val="99"/>
    <w:semiHidden/>
    <w:rsid w:val="002B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2B3D18"/>
    <w:rPr>
      <w:rFonts w:ascii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11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7021</Words>
  <Characters>40021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kalisheva_an</dc:creator>
  <cp:lastModifiedBy>User</cp:lastModifiedBy>
  <cp:revision>2</cp:revision>
  <cp:lastPrinted>2014-11-25T05:43:00Z</cp:lastPrinted>
  <dcterms:created xsi:type="dcterms:W3CDTF">2015-07-02T03:18:00Z</dcterms:created>
  <dcterms:modified xsi:type="dcterms:W3CDTF">2015-07-02T03:18:00Z</dcterms:modified>
</cp:coreProperties>
</file>